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454"/>
        <w:gridCol w:w="2466"/>
      </w:tblGrid>
      <w:tr w:rsidR="004E4E1B" w:rsidRPr="009E0413" w:rsidTr="00B1309B">
        <w:trPr>
          <w:jc w:val="center"/>
        </w:trPr>
        <w:tc>
          <w:tcPr>
            <w:tcW w:w="1998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1028700" cy="1438275"/>
                  <wp:effectExtent l="19050" t="0" r="0" b="0"/>
                  <wp:docPr id="1" name="Picture 1" descr="C:\Users\Co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4E4E1B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ROMÂNIA</w:t>
            </w: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JUDEŢUL PRAHOVA</w:t>
            </w:r>
          </w:p>
          <w:p w:rsidR="004E4E1B" w:rsidRPr="009E0413" w:rsidRDefault="004E4E1B" w:rsidP="004E4E1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 xml:space="preserve">PRIMARUL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9E0413">
              <w:rPr>
                <w:rFonts w:ascii="Arial" w:eastAsia="Calibri" w:hAnsi="Arial" w:cs="Arial"/>
                <w:b/>
              </w:rPr>
              <w:t>COMUNEI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9E0413">
              <w:rPr>
                <w:rFonts w:ascii="Arial" w:eastAsia="Calibri" w:hAnsi="Arial" w:cs="Arial"/>
                <w:b/>
              </w:rPr>
              <w:t>GURA VITIOAREI</w:t>
            </w:r>
          </w:p>
        </w:tc>
        <w:tc>
          <w:tcPr>
            <w:tcW w:w="2466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790575" cy="1295400"/>
                  <wp:effectExtent l="19050" t="0" r="9525" b="0"/>
                  <wp:docPr id="2" name="Picture 1" descr="Stema Gura Vtioa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Gura Vtioa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3FD" w:rsidRDefault="00FA43FD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5DF" w:rsidRPr="00972866" w:rsidRDefault="004E4E1B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2866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9467D4">
        <w:rPr>
          <w:rFonts w:ascii="Times New Roman" w:hAnsi="Times New Roman" w:cs="Times New Roman"/>
          <w:b/>
          <w:sz w:val="28"/>
          <w:szCs w:val="28"/>
        </w:rPr>
        <w:t>9.965</w:t>
      </w:r>
      <w:r w:rsidR="00F875AB" w:rsidRPr="00972866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9467D4">
        <w:rPr>
          <w:rFonts w:ascii="Times New Roman" w:hAnsi="Times New Roman" w:cs="Times New Roman"/>
          <w:b/>
          <w:sz w:val="28"/>
          <w:szCs w:val="28"/>
        </w:rPr>
        <w:t>0</w:t>
      </w:r>
      <w:r w:rsidR="00972866">
        <w:rPr>
          <w:rFonts w:ascii="Times New Roman" w:hAnsi="Times New Roman" w:cs="Times New Roman"/>
          <w:b/>
          <w:sz w:val="28"/>
          <w:szCs w:val="28"/>
        </w:rPr>
        <w:t>8</w:t>
      </w:r>
      <w:r w:rsidR="00F875AB" w:rsidRPr="00972866">
        <w:rPr>
          <w:rFonts w:ascii="Times New Roman" w:hAnsi="Times New Roman" w:cs="Times New Roman"/>
          <w:b/>
          <w:sz w:val="28"/>
          <w:szCs w:val="28"/>
        </w:rPr>
        <w:t>.1</w:t>
      </w:r>
      <w:r w:rsidR="009467D4">
        <w:rPr>
          <w:rFonts w:ascii="Times New Roman" w:hAnsi="Times New Roman" w:cs="Times New Roman"/>
          <w:b/>
          <w:sz w:val="28"/>
          <w:szCs w:val="28"/>
        </w:rPr>
        <w:t>2</w:t>
      </w:r>
      <w:r w:rsidR="00F875AB" w:rsidRPr="00972866">
        <w:rPr>
          <w:rFonts w:ascii="Times New Roman" w:hAnsi="Times New Roman" w:cs="Times New Roman"/>
          <w:b/>
          <w:sz w:val="28"/>
          <w:szCs w:val="28"/>
        </w:rPr>
        <w:t>.2021</w:t>
      </w:r>
    </w:p>
    <w:p w:rsidR="004E4E1B" w:rsidRDefault="004E4E1B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FD" w:rsidRPr="007D75DF" w:rsidRDefault="00FA43FD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5DF" w:rsidRPr="007D75DF" w:rsidRDefault="004C2777" w:rsidP="007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PROIECT DE </w:t>
      </w:r>
      <w:r w:rsidR="007D75DF" w:rsidRPr="007D75DF">
        <w:rPr>
          <w:rFonts w:ascii="Times New Roman" w:hAnsi="Times New Roman" w:cs="Times New Roman"/>
          <w:b/>
          <w:sz w:val="28"/>
          <w:szCs w:val="28"/>
        </w:rPr>
        <w:t xml:space="preserve"> HOTARARE</w:t>
      </w: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DF">
        <w:rPr>
          <w:rFonts w:ascii="Times New Roman" w:hAnsi="Times New Roman" w:cs="Times New Roman"/>
          <w:b/>
          <w:bCs/>
          <w:sz w:val="28"/>
          <w:szCs w:val="28"/>
        </w:rPr>
        <w:t xml:space="preserve">privind aprobarea </w:t>
      </w:r>
      <w:r w:rsidR="007F0790">
        <w:rPr>
          <w:rFonts w:ascii="Times New Roman" w:hAnsi="Times New Roman" w:cs="Times New Roman"/>
          <w:b/>
          <w:bCs/>
          <w:sz w:val="28"/>
          <w:szCs w:val="28"/>
        </w:rPr>
        <w:t>rectificării bug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etului local al comunei Gura Vitioarei</w:t>
      </w:r>
      <w:r w:rsidR="007F07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pe anul 202</w:t>
      </w:r>
      <w:r w:rsidR="004E4E1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, cu estimări pentru anii 202</w:t>
      </w:r>
      <w:r w:rsidR="004E4E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E4E1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D75DF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3FD" w:rsidRPr="007D75DF" w:rsidRDefault="00FA43FD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5DF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DF">
        <w:rPr>
          <w:rFonts w:ascii="Times New Roman" w:hAnsi="Times New Roman" w:cs="Times New Roman"/>
          <w:sz w:val="28"/>
          <w:szCs w:val="28"/>
        </w:rPr>
        <w:t xml:space="preserve">Consiliul local al comunei </w:t>
      </w:r>
      <w:r>
        <w:rPr>
          <w:rFonts w:ascii="Times New Roman" w:hAnsi="Times New Roman" w:cs="Times New Roman"/>
          <w:sz w:val="28"/>
          <w:szCs w:val="28"/>
        </w:rPr>
        <w:t>Gura Vitioarei, județul Prahova</w:t>
      </w:r>
      <w:r w:rsidRPr="007D75DF">
        <w:rPr>
          <w:rFonts w:ascii="Times New Roman" w:hAnsi="Times New Roman" w:cs="Times New Roman"/>
          <w:sz w:val="28"/>
          <w:szCs w:val="28"/>
        </w:rPr>
        <w:t xml:space="preserve">, întrunit în ședință ordinară; </w:t>
      </w:r>
    </w:p>
    <w:p w:rsidR="00FA43FD" w:rsidRPr="007D75DF" w:rsidRDefault="00FA43FD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D0D" w:rsidRPr="00747D0D" w:rsidRDefault="004C2777" w:rsidP="00747D0D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>a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vând în vedere referatul de aprobare al 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rimarului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comunei Gura Vitioarei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înregistrat cu nr. </w:t>
      </w:r>
      <w:r w:rsidR="009467D4">
        <w:rPr>
          <w:rFonts w:ascii="Times New Roman" w:eastAsia="Times New Roman" w:hAnsi="Times New Roman" w:cs="Times New Roman"/>
          <w:color w:val="011628"/>
          <w:sz w:val="28"/>
          <w:szCs w:val="28"/>
        </w:rPr>
        <w:t>9.966</w:t>
      </w:r>
      <w:r w:rsidR="007F3E3C" w:rsidRPr="0097286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>08</w:t>
      </w:r>
      <w:r w:rsidR="005C20B5" w:rsidRPr="009728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28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20B5" w:rsidRPr="00972866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raportul  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Serviciului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contabilitate, impozite și taxe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înregistrat cu nr</w:t>
      </w:r>
      <w:r w:rsidR="00972866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. </w:t>
      </w:r>
      <w:r w:rsidR="009467D4">
        <w:rPr>
          <w:rFonts w:ascii="Times New Roman" w:eastAsia="Times New Roman" w:hAnsi="Times New Roman" w:cs="Times New Roman"/>
          <w:color w:val="011628"/>
          <w:sz w:val="28"/>
          <w:szCs w:val="28"/>
        </w:rPr>
        <w:t>9.967</w:t>
      </w:r>
      <w:r w:rsidR="0097286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972866">
        <w:rPr>
          <w:rFonts w:ascii="Times New Roman" w:eastAsia="Times New Roman" w:hAnsi="Times New Roman" w:cs="Times New Roman"/>
          <w:sz w:val="28"/>
          <w:szCs w:val="28"/>
        </w:rPr>
        <w:t>8.1</w:t>
      </w:r>
      <w:r w:rsidR="009467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2866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,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proiect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ul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de hotărâre privind aprobarea </w:t>
      </w:r>
      <w:r w:rsidR="007F079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rectificării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bugetului local </w:t>
      </w:r>
      <w:r w:rsidR="007F079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pe anul 202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1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și anexele aferente;</w:t>
      </w:r>
    </w:p>
    <w:p w:rsidR="004E4E1B" w:rsidRDefault="00747D0D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având în vedere prevederile Legii nr. 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1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5/0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8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.0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3.2021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entru aprobarea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Bugetul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ui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de stat pe anul 20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2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1;</w:t>
      </w:r>
    </w:p>
    <w:p w:rsidR="00E34BD7" w:rsidRDefault="00E34BD7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>prevederile  O.U.G. 97/2021 pentru rectificarea bugetului de stat pe anul 2021;</w:t>
      </w:r>
    </w:p>
    <w:p w:rsidR="004C2777" w:rsidRDefault="00747D0D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prevederile Legii nr. 273/2006 privind finanțele publice locale, cu modificările completările ulterioare;</w:t>
      </w:r>
    </w:p>
    <w:p w:rsidR="002C67DD" w:rsidRDefault="002C67DD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Prevederile </w:t>
      </w:r>
      <w:r>
        <w:rPr>
          <w:rFonts w:ascii="Times New Roman" w:hAnsi="Times New Roman" w:cs="Times New Roman"/>
          <w:sz w:val="28"/>
          <w:szCs w:val="28"/>
          <w:lang w:val="it-IT"/>
        </w:rPr>
        <w:t>Hotărârii  Guvernului  nr. 922/17.09.2021 privind alocarea unei sume din Fondul de intervenție la dispoziția Guvernului, prevăzut în bugetul de stat pe anul 2021,  pentru unele unități administrativ- teritoriale afectate de calamitățile naturale;</w:t>
      </w:r>
    </w:p>
    <w:p w:rsidR="004C2777" w:rsidRPr="002C67DD" w:rsidRDefault="004C2777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4C2777">
        <w:rPr>
          <w:rFonts w:ascii="Times New Roman" w:hAnsi="Times New Roman" w:cs="Times New Roman"/>
          <w:sz w:val="28"/>
          <w:szCs w:val="28"/>
          <w:lang w:val="it-IT"/>
        </w:rPr>
        <w:t>Decizi</w:t>
      </w:r>
      <w:r w:rsidR="005C20B5">
        <w:rPr>
          <w:rFonts w:ascii="Times New Roman" w:hAnsi="Times New Roman" w:cs="Times New Roman"/>
          <w:sz w:val="28"/>
          <w:szCs w:val="28"/>
          <w:lang w:val="it-IT"/>
        </w:rPr>
        <w:t>ile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 xml:space="preserve"> Directorului Executiv al Direcției Generale a Finanțelor Publice Prahova nr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>. 3</w:t>
      </w:r>
      <w:r w:rsidR="004E4E1B">
        <w:rPr>
          <w:rFonts w:ascii="Times New Roman" w:hAnsi="Times New Roman" w:cs="Times New Roman"/>
          <w:color w:val="0D0D0D"/>
          <w:sz w:val="28"/>
          <w:szCs w:val="28"/>
          <w:lang w:val="it-IT"/>
        </w:rPr>
        <w:t>04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 xml:space="preserve">/ </w:t>
      </w:r>
      <w:r w:rsidR="004E4E1B">
        <w:rPr>
          <w:rFonts w:ascii="Times New Roman" w:hAnsi="Times New Roman" w:cs="Times New Roman"/>
          <w:color w:val="0D0D0D"/>
          <w:sz w:val="28"/>
          <w:szCs w:val="28"/>
          <w:lang w:val="it-IT"/>
        </w:rPr>
        <w:t>17.03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>.202</w:t>
      </w:r>
      <w:r w:rsidR="004E4E1B">
        <w:rPr>
          <w:rFonts w:ascii="Times New Roman" w:hAnsi="Times New Roman" w:cs="Times New Roman"/>
          <w:color w:val="0D0D0D"/>
          <w:sz w:val="28"/>
          <w:szCs w:val="28"/>
          <w:lang w:val="it-IT"/>
        </w:rPr>
        <w:t>1</w:t>
      </w:r>
      <w:r w:rsidR="005C20B5">
        <w:rPr>
          <w:rFonts w:ascii="Times New Roman" w:hAnsi="Times New Roman" w:cs="Times New Roman"/>
          <w:color w:val="0D0D0D"/>
          <w:sz w:val="28"/>
          <w:szCs w:val="28"/>
          <w:lang w:val="it-IT"/>
        </w:rPr>
        <w:t xml:space="preserve"> și 326/23.03.2021 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 xml:space="preserve"> privind repartizarea pe  unități administrativ-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>teritoriale a sumelor defalcate din taxa pe valoare adaugată pentru echilibrarea bugetelor locale și a cotelor defalcate din impozitul pe venit;</w:t>
      </w:r>
    </w:p>
    <w:p w:rsidR="002C67DD" w:rsidRPr="002C67DD" w:rsidRDefault="002C67DD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2C67DD">
        <w:rPr>
          <w:rFonts w:ascii="Times New Roman" w:hAnsi="Times New Roman" w:cs="Times New Roman"/>
          <w:sz w:val="28"/>
          <w:szCs w:val="28"/>
          <w:lang w:val="it-IT"/>
        </w:rPr>
        <w:t>Decizia Directorului Executiv al Direcției Generale a Finanțelor Publice Prahova nr</w:t>
      </w:r>
      <w:r w:rsidRPr="002C67DD">
        <w:rPr>
          <w:rFonts w:ascii="Times New Roman" w:hAnsi="Times New Roman" w:cs="Times New Roman"/>
          <w:color w:val="0D0D0D"/>
          <w:sz w:val="28"/>
          <w:szCs w:val="28"/>
          <w:lang w:val="it-IT"/>
        </w:rPr>
        <w:t>. 373/ 06.04.2021 privind repartizarea pe  unități administrativ-</w:t>
      </w:r>
      <w:r w:rsidRPr="002C67DD">
        <w:rPr>
          <w:rFonts w:ascii="Times New Roman" w:hAnsi="Times New Roman" w:cs="Times New Roman"/>
          <w:sz w:val="28"/>
          <w:szCs w:val="28"/>
          <w:lang w:val="it-IT"/>
        </w:rPr>
        <w:t>teritoriale a sumelor defalcate din taxa pe valoare adaugată pentru echilibrarea bugetelor locale și a cotelor defalcate din impozitul pe venit pe anii 2022-2024;</w:t>
      </w:r>
    </w:p>
    <w:p w:rsidR="002C67DD" w:rsidRPr="002C67DD" w:rsidRDefault="002C67DD" w:rsidP="004C2777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2C67DD">
        <w:rPr>
          <w:rFonts w:ascii="Times New Roman" w:hAnsi="Times New Roman" w:cs="Times New Roman"/>
          <w:sz w:val="28"/>
          <w:szCs w:val="28"/>
          <w:lang w:val="it-IT"/>
        </w:rPr>
        <w:lastRenderedPageBreak/>
        <w:t>Hotărârea Consiliului Local nr. 43/22.06.2021 privind stabilirea sumei cu titlu de cheltuieli de executare silită ocazionate de tipărirea și comunicarea prin postă a documentelor de executare silită;</w:t>
      </w:r>
    </w:p>
    <w:p w:rsidR="007F3E3C" w:rsidRDefault="007F3E3C" w:rsidP="007F3E3C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Hotărârea Consiliului Județean Prahova  nr. 116 din 30 iunie 2021 privind repartizarea pe unități administrativ teritoriale a fondului la dispoziția CJ Prahova pe anul 2021 și estimări pe anii 2022 – 2024;</w:t>
      </w:r>
    </w:p>
    <w:p w:rsidR="002C67DD" w:rsidRPr="004C2777" w:rsidRDefault="007F3E3C" w:rsidP="002C67DD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45765F">
        <w:rPr>
          <w:rFonts w:ascii="Times New Roman" w:hAnsi="Times New Roman" w:cs="Times New Roman"/>
          <w:sz w:val="28"/>
          <w:szCs w:val="28"/>
          <w:lang w:val="it-IT"/>
        </w:rPr>
        <w:t>Decizia Directorului Executiv al Direcției Generale a Finanțelor Publice Prahova nr</w:t>
      </w:r>
      <w:r w:rsidRPr="0045765F">
        <w:rPr>
          <w:rFonts w:ascii="Times New Roman" w:hAnsi="Times New Roman" w:cs="Times New Roman"/>
          <w:color w:val="0D0D0D"/>
          <w:sz w:val="28"/>
          <w:szCs w:val="28"/>
          <w:lang w:val="it-IT"/>
        </w:rPr>
        <w:t>. 755/ 02.07.2021 privind repartizarea pe  unități administrativ-</w:t>
      </w:r>
      <w:r w:rsidRPr="0045765F">
        <w:rPr>
          <w:rFonts w:ascii="Times New Roman" w:hAnsi="Times New Roman" w:cs="Times New Roman"/>
          <w:sz w:val="28"/>
          <w:szCs w:val="28"/>
          <w:lang w:val="it-IT"/>
        </w:rPr>
        <w:t xml:space="preserve">teritoriale a sumei corespunzătoare cotei de </w:t>
      </w:r>
      <w:r>
        <w:rPr>
          <w:rFonts w:ascii="Times New Roman" w:hAnsi="Times New Roman" w:cs="Times New Roman"/>
          <w:sz w:val="28"/>
          <w:szCs w:val="28"/>
          <w:lang w:val="it-IT"/>
        </w:rPr>
        <w:t>6</w:t>
      </w:r>
      <w:r w:rsidRPr="0045765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% din impozitul pe venit estimat a se încasa la </w:t>
      </w: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>bugetul de stat în anul 2021 reprezentând fond la dispoziția consiliului județean;</w:t>
      </w:r>
      <w:r w:rsidR="002C67DD" w:rsidRPr="002C67D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C67DD">
        <w:rPr>
          <w:rFonts w:ascii="Times New Roman" w:hAnsi="Times New Roman" w:cs="Times New Roman"/>
          <w:sz w:val="28"/>
          <w:szCs w:val="28"/>
          <w:lang w:val="it-IT"/>
        </w:rPr>
        <w:t>Hotărârea Consiliului Local nr. 43/22.06.2021 privind stabilirea sumei cu titlu de cheltuieli de executare silită ocazionate de tipărirea și comunicarea prin postă a documentelor de executare silită;</w:t>
      </w:r>
    </w:p>
    <w:p w:rsidR="002C67DD" w:rsidRPr="00F875AB" w:rsidRDefault="002C67DD" w:rsidP="007F3E3C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2C67DD">
        <w:rPr>
          <w:rFonts w:ascii="Times New Roman" w:hAnsi="Times New Roman" w:cs="Times New Roman"/>
          <w:sz w:val="28"/>
          <w:szCs w:val="28"/>
          <w:lang w:val="it-IT"/>
        </w:rPr>
        <w:t>Decizia Directorului Executiv al Direcției Generale a Finanțelor Publice Prahova nr</w:t>
      </w:r>
      <w:r w:rsidRPr="002C67DD">
        <w:rPr>
          <w:rFonts w:ascii="Times New Roman" w:hAnsi="Times New Roman" w:cs="Times New Roman"/>
          <w:color w:val="0D0D0D"/>
          <w:sz w:val="28"/>
          <w:szCs w:val="28"/>
          <w:lang w:val="it-IT"/>
        </w:rPr>
        <w:t>. 1.016/ 15.09.2021</w:t>
      </w:r>
      <w:r w:rsidRPr="002C67DD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F875AB" w:rsidRPr="00CD06DD" w:rsidRDefault="00F875AB" w:rsidP="007F3E3C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Hotărârea Guvernului nr. 1088/ octombrie 2021 privind alocarea unei sume din Fondul de rezervă bugetară la dispoziția Guvernului, prevăzut în bugetul de stat pe anul 2021, pentru unele unități administrativ – teritoriale;</w:t>
      </w:r>
    </w:p>
    <w:p w:rsidR="006D0171" w:rsidRDefault="00CD06DD" w:rsidP="006D0171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2C67DD">
        <w:rPr>
          <w:rFonts w:ascii="Times New Roman" w:hAnsi="Times New Roman" w:cs="Times New Roman"/>
          <w:sz w:val="28"/>
          <w:szCs w:val="28"/>
          <w:lang w:val="it-IT"/>
        </w:rPr>
        <w:t>Decizia Directorului Executiv al Direcției Generale a Finanțelor Publice Prahova nr</w:t>
      </w:r>
      <w:r w:rsidRPr="002C67DD">
        <w:rPr>
          <w:rFonts w:ascii="Times New Roman" w:hAnsi="Times New Roman" w:cs="Times New Roman"/>
          <w:color w:val="0D0D0D"/>
          <w:sz w:val="28"/>
          <w:szCs w:val="28"/>
          <w:lang w:val="it-IT"/>
        </w:rPr>
        <w:t>. 1.</w:t>
      </w:r>
      <w:r>
        <w:rPr>
          <w:rFonts w:ascii="Times New Roman" w:hAnsi="Times New Roman" w:cs="Times New Roman"/>
          <w:color w:val="0D0D0D"/>
          <w:sz w:val="28"/>
          <w:szCs w:val="28"/>
          <w:lang w:val="it-IT"/>
        </w:rPr>
        <w:t>323/ 06.12</w:t>
      </w:r>
      <w:r w:rsidRPr="002C67DD">
        <w:rPr>
          <w:rFonts w:ascii="Times New Roman" w:hAnsi="Times New Roman" w:cs="Times New Roman"/>
          <w:color w:val="0D0D0D"/>
          <w:sz w:val="28"/>
          <w:szCs w:val="28"/>
          <w:lang w:val="it-IT"/>
        </w:rPr>
        <w:t>.2021</w:t>
      </w:r>
      <w:r w:rsidRPr="002C67DD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6D0171" w:rsidRPr="006D0171" w:rsidRDefault="006D0171" w:rsidP="006D0171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6D0171">
        <w:rPr>
          <w:rFonts w:ascii="Times New Roman" w:hAnsi="Times New Roman" w:cs="Times New Roman"/>
          <w:sz w:val="28"/>
          <w:szCs w:val="28"/>
          <w:lang w:val="it-IT"/>
        </w:rPr>
        <w:t>Decizia Directorului Executiv al Direcției Generale a Finanțelor Publice Prahova nr</w:t>
      </w:r>
      <w:r w:rsidRPr="006D0171">
        <w:rPr>
          <w:rFonts w:ascii="Times New Roman" w:hAnsi="Times New Roman" w:cs="Times New Roman"/>
          <w:color w:val="0D0D0D"/>
          <w:sz w:val="28"/>
          <w:szCs w:val="28"/>
          <w:lang w:val="it-IT"/>
        </w:rPr>
        <w:t>. 1.3</w:t>
      </w:r>
      <w:r>
        <w:rPr>
          <w:rFonts w:ascii="Times New Roman" w:hAnsi="Times New Roman" w:cs="Times New Roman"/>
          <w:color w:val="0D0D0D"/>
          <w:sz w:val="28"/>
          <w:szCs w:val="28"/>
          <w:lang w:val="it-IT"/>
        </w:rPr>
        <w:t>42</w:t>
      </w:r>
      <w:r w:rsidRPr="006D0171">
        <w:rPr>
          <w:rFonts w:ascii="Times New Roman" w:hAnsi="Times New Roman" w:cs="Times New Roman"/>
          <w:color w:val="0D0D0D"/>
          <w:sz w:val="28"/>
          <w:szCs w:val="28"/>
          <w:lang w:val="it-IT"/>
        </w:rPr>
        <w:t>/ 0</w:t>
      </w:r>
      <w:r>
        <w:rPr>
          <w:rFonts w:ascii="Times New Roman" w:hAnsi="Times New Roman" w:cs="Times New Roman"/>
          <w:color w:val="0D0D0D"/>
          <w:sz w:val="28"/>
          <w:szCs w:val="28"/>
          <w:lang w:val="it-IT"/>
        </w:rPr>
        <w:t>8</w:t>
      </w:r>
      <w:r w:rsidRPr="006D0171">
        <w:rPr>
          <w:rFonts w:ascii="Times New Roman" w:hAnsi="Times New Roman" w:cs="Times New Roman"/>
          <w:color w:val="0D0D0D"/>
          <w:sz w:val="28"/>
          <w:szCs w:val="28"/>
          <w:lang w:val="it-IT"/>
        </w:rPr>
        <w:t>.12.2021</w:t>
      </w:r>
      <w:r w:rsidRPr="006D0171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D43AC8" w:rsidRPr="00D43AC8" w:rsidRDefault="00D43AC8" w:rsidP="007F3E3C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Analiza execuției buhetare la data de </w:t>
      </w:r>
      <w:r w:rsidR="009467D4">
        <w:rPr>
          <w:rFonts w:ascii="Times New Roman" w:hAnsi="Times New Roman" w:cs="Times New Roman"/>
          <w:sz w:val="28"/>
          <w:szCs w:val="28"/>
          <w:lang w:val="it-IT"/>
        </w:rPr>
        <w:t>08</w:t>
      </w:r>
      <w:r>
        <w:rPr>
          <w:rFonts w:ascii="Times New Roman" w:hAnsi="Times New Roman" w:cs="Times New Roman"/>
          <w:sz w:val="28"/>
          <w:szCs w:val="28"/>
          <w:lang w:val="it-IT"/>
        </w:rPr>
        <w:t>.1</w:t>
      </w:r>
      <w:r w:rsidR="009467D4">
        <w:rPr>
          <w:rFonts w:ascii="Times New Roman" w:hAnsi="Times New Roman" w:cs="Times New Roman"/>
          <w:sz w:val="28"/>
          <w:szCs w:val="28"/>
          <w:lang w:val="it-IT"/>
        </w:rPr>
        <w:t>2</w:t>
      </w:r>
      <w:r>
        <w:rPr>
          <w:rFonts w:ascii="Times New Roman" w:hAnsi="Times New Roman" w:cs="Times New Roman"/>
          <w:sz w:val="28"/>
          <w:szCs w:val="28"/>
          <w:lang w:val="it-IT"/>
        </w:rPr>
        <w:t>.2021;</w:t>
      </w:r>
    </w:p>
    <w:p w:rsidR="00D43AC8" w:rsidRPr="002C67DD" w:rsidRDefault="009467D4" w:rsidP="007F3E3C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Referatul de virări credite</w:t>
      </w:r>
      <w:r w:rsidR="00D43AC8">
        <w:rPr>
          <w:rFonts w:ascii="Times New Roman" w:hAnsi="Times New Roman" w:cs="Times New Roman"/>
          <w:sz w:val="28"/>
          <w:szCs w:val="28"/>
          <w:lang w:val="it-IT"/>
        </w:rPr>
        <w:t xml:space="preserve"> a Școlii Gimnaziale, Comuna Gura Vitioarei;</w:t>
      </w:r>
    </w:p>
    <w:p w:rsidR="00747D0D" w:rsidRPr="00747D0D" w:rsidRDefault="00747D0D" w:rsidP="00747D0D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în conformitate cu prevederile art. 129 alin. (4) lit. a) lit. d) din OUG 57/2019 privind Codul Administrativ;</w:t>
      </w:r>
    </w:p>
    <w:p w:rsidR="00747D0D" w:rsidRPr="00747D0D" w:rsidRDefault="00747D0D" w:rsidP="00747D0D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în temeiul art. 139 alin. (1), alin. (3) lit. a) si art. 196, art. 197, art. 200 din OUG 57/2019 privind Codul Administrativ.</w:t>
      </w:r>
    </w:p>
    <w:p w:rsidR="00747D0D" w:rsidRPr="00747D0D" w:rsidRDefault="00747D0D" w:rsidP="00747D0D">
      <w:pPr>
        <w:shd w:val="clear" w:color="auto" w:fill="FDFF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  <w:t>HOTĂRĂȘTE:</w:t>
      </w:r>
    </w:p>
    <w:p w:rsidR="00747D0D" w:rsidRPr="00747D0D" w:rsidRDefault="00747D0D" w:rsidP="00747D0D">
      <w:pPr>
        <w:numPr>
          <w:ilvl w:val="0"/>
          <w:numId w:val="2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Art. 1.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– Se aprobă </w:t>
      </w:r>
      <w:r w:rsidR="007F079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rectificarea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Bugetul</w:t>
      </w:r>
      <w:r w:rsidR="007F0790">
        <w:rPr>
          <w:rFonts w:ascii="Times New Roman" w:eastAsia="Times New Roman" w:hAnsi="Times New Roman" w:cs="Times New Roman"/>
          <w:color w:val="011628"/>
          <w:sz w:val="28"/>
          <w:szCs w:val="28"/>
        </w:rPr>
        <w:t>ui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general consolidat de Venituri </w:t>
      </w:r>
      <w:r w:rsidR="007F079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Cheltuieli al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comunei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Gura Vitioarei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pe anul 202</w:t>
      </w:r>
      <w:r w:rsidR="004F25C6">
        <w:rPr>
          <w:rFonts w:ascii="Times New Roman" w:eastAsia="Times New Roman" w:hAnsi="Times New Roman" w:cs="Times New Roman"/>
          <w:color w:val="011628"/>
          <w:sz w:val="28"/>
          <w:szCs w:val="28"/>
        </w:rPr>
        <w:t>1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conform </w:t>
      </w:r>
      <w:r w:rsidR="00356478">
        <w:rPr>
          <w:rFonts w:ascii="Times New Roman" w:eastAsia="Times New Roman" w:hAnsi="Times New Roman" w:cs="Times New Roman"/>
          <w:color w:val="011628"/>
          <w:sz w:val="28"/>
          <w:szCs w:val="28"/>
        </w:rPr>
        <w:t>anexei 1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care fac</w:t>
      </w:r>
      <w:r w:rsidR="00356478">
        <w:rPr>
          <w:rFonts w:ascii="Times New Roman" w:eastAsia="Times New Roman" w:hAnsi="Times New Roman" w:cs="Times New Roman"/>
          <w:color w:val="011628"/>
          <w:sz w:val="28"/>
          <w:szCs w:val="28"/>
        </w:rPr>
        <w:t>e</w:t>
      </w:r>
      <w:r w:rsidR="00AE3D8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parte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ntegrantă din prezenta hotărâre, buget general care cuprinde:</w:t>
      </w:r>
    </w:p>
    <w:p w:rsidR="00747D0D" w:rsidRPr="00356478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-  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Bugetul </w:t>
      </w:r>
      <w:r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general consolidat 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r w:rsidR="00A41D6B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comunei Gura Vitioarei </w:t>
      </w:r>
      <w:r w:rsidR="007421C2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anul 2021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în sumă totală de </w:t>
      </w:r>
      <w:r w:rsidR="007B0C70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467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6D01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E3D8B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421C2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mii </w:t>
      </w:r>
      <w:r w:rsidR="00747D0D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lei,  partea de venituri  și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3FD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B0C70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D01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93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E3D8B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421C2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mii lei</w:t>
      </w:r>
      <w:r w:rsidR="00747D0D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partea de cheltuieli (anexa 1);</w:t>
      </w:r>
    </w:p>
    <w:p w:rsidR="00747D0D" w:rsidRPr="00356478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 detaliata a obiectivelor de investiții pe anul 202</w:t>
      </w:r>
      <w:r w:rsidR="007421C2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suma totală de </w:t>
      </w:r>
      <w:r w:rsidR="00F31832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</w:t>
      </w:r>
      <w:r w:rsidR="00933AA5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</w:t>
      </w:r>
      <w:r w:rsidR="00F31832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DC54B7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mii </w:t>
      </w:r>
      <w:r w:rsid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lei rămâne neschimbată</w:t>
      </w:r>
      <w:r w:rsidR="00747D0D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D619A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47D0D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bugetul </w:t>
      </w:r>
      <w:r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Școlii Gimnaziale, comuna Gura Vitioarei, cu estimări pe anii 202</w:t>
      </w:r>
      <w:r w:rsidR="00DC54B7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DC54B7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sumă totală de 4</w:t>
      </w:r>
      <w:r w:rsidR="002C67DD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C54B7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C54B7" w:rsidRPr="003564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7D6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mii lei;</w:t>
      </w:r>
    </w:p>
    <w:p w:rsidR="009E4E1A" w:rsidRPr="00BD3DB1" w:rsidRDefault="007D619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fondurile necesare pentru acordarea ajutorului de încălzire a locuinței cu combustibili solizi și/sau petrolieri</w:t>
      </w:r>
      <w:r w:rsidR="00A76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sunt 85.000 lei.</w:t>
      </w:r>
      <w:r w:rsidR="009E4E1A" w:rsidRPr="00BD3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7D0D" w:rsidRPr="00747D0D" w:rsidRDefault="00747D0D" w:rsidP="009E4E1A">
      <w:pPr>
        <w:shd w:val="clear" w:color="auto" w:fill="FDFFFC"/>
        <w:spacing w:before="100" w:beforeAutospacing="1" w:after="144" w:line="240" w:lineRule="auto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 xml:space="preserve">Art. </w:t>
      </w:r>
      <w:r w:rsidR="009E4E1A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2</w:t>
      </w: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– Prezenta va fi dusă la îndeplinire de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DC54B7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>rimarul  comunei Gura Vitioarei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DC54B7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Serviciul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>contabilitate, impozite și taxe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Compartimentul de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9E4E1A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investiții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achiziții publice  din cadrul aparatului de specialitate al primarului, celelalte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compartimente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din cadrul primăriei si ordonator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ul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terțiar de credite, respectiv Directorul Școlii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G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imnaziale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,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Comuna Gura Vitioarei.</w:t>
      </w:r>
    </w:p>
    <w:p w:rsidR="00695906" w:rsidRPr="007F0790" w:rsidRDefault="00747D0D" w:rsidP="007F0790">
      <w:pPr>
        <w:shd w:val="clear" w:color="auto" w:fill="FDFFFC"/>
        <w:spacing w:before="100" w:beforeAutospacing="1" w:after="144" w:line="240" w:lineRule="auto"/>
        <w:rPr>
          <w:rFonts w:ascii="Times New Roman" w:hAnsi="Times New Roman" w:cs="Times New Roman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 xml:space="preserve">Art. </w:t>
      </w:r>
      <w:r w:rsidR="007D1391" w:rsidRPr="007D1391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3.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 </w:t>
      </w:r>
      <w:r w:rsidR="007F0790" w:rsidRPr="007F0790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Hotărârea se aduce la cunoştinţă publică si se comunică Instituţiei prefectului - judeţul Prahova , primarului localităţii si tuturor compartimentelor de resort din  aparatul de specialitate al primarului , prin grija secretarului general al unităţii administrativ-teritoriale Gura Vitioarei si se publica in Monitorul Oficial Local prin compartimentul monitorizare proceduri administrative.</w:t>
      </w:r>
    </w:p>
    <w:p w:rsidR="007D1391" w:rsidRDefault="007D1391">
      <w:pPr>
        <w:rPr>
          <w:sz w:val="28"/>
          <w:szCs w:val="28"/>
        </w:rPr>
      </w:pPr>
    </w:p>
    <w:p w:rsidR="007D1391" w:rsidRPr="007F0790" w:rsidRDefault="007D1391" w:rsidP="004C277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C54B7" w:rsidRPr="007F0790">
        <w:rPr>
          <w:rFonts w:ascii="Times New Roman" w:hAnsi="Times New Roman" w:cs="Times New Roman"/>
          <w:sz w:val="28"/>
          <w:szCs w:val="28"/>
        </w:rPr>
        <w:t>P</w:t>
      </w:r>
      <w:r w:rsidR="004C2777" w:rsidRPr="007F0790">
        <w:rPr>
          <w:rFonts w:ascii="Times New Roman" w:hAnsi="Times New Roman" w:cs="Times New Roman"/>
          <w:sz w:val="28"/>
          <w:szCs w:val="28"/>
        </w:rPr>
        <w:t>rimar,</w:t>
      </w:r>
    </w:p>
    <w:p w:rsidR="004C2777" w:rsidRDefault="004C2777" w:rsidP="004C2777">
      <w:pPr>
        <w:rPr>
          <w:rFonts w:ascii="Times New Roman" w:hAnsi="Times New Roman" w:cs="Times New Roman"/>
          <w:sz w:val="28"/>
          <w:szCs w:val="28"/>
        </w:rPr>
      </w:pPr>
      <w:r w:rsidRPr="004C2777">
        <w:rPr>
          <w:rFonts w:ascii="Times New Roman" w:hAnsi="Times New Roman" w:cs="Times New Roman"/>
          <w:sz w:val="28"/>
          <w:szCs w:val="28"/>
        </w:rPr>
        <w:tab/>
        <w:t>Stănescu Gheorghe</w:t>
      </w:r>
    </w:p>
    <w:p w:rsidR="00B94A70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p w:rsidR="00B94A70" w:rsidRDefault="00B94A70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Avizat,</w:t>
      </w:r>
    </w:p>
    <w:p w:rsidR="00B94A70" w:rsidRDefault="00DC54B7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4A70">
        <w:rPr>
          <w:rFonts w:ascii="Times New Roman" w:hAnsi="Times New Roman" w:cs="Times New Roman"/>
          <w:sz w:val="28"/>
          <w:szCs w:val="28"/>
        </w:rPr>
        <w:t xml:space="preserve">Secretarul </w:t>
      </w:r>
      <w:r>
        <w:rPr>
          <w:rFonts w:ascii="Times New Roman" w:hAnsi="Times New Roman" w:cs="Times New Roman"/>
          <w:sz w:val="28"/>
          <w:szCs w:val="28"/>
        </w:rPr>
        <w:t xml:space="preserve">General al </w:t>
      </w:r>
      <w:r w:rsidR="00B94A70">
        <w:rPr>
          <w:rFonts w:ascii="Times New Roman" w:hAnsi="Times New Roman" w:cs="Times New Roman"/>
          <w:sz w:val="28"/>
          <w:szCs w:val="28"/>
        </w:rPr>
        <w:t>Comunei</w:t>
      </w:r>
      <w:r>
        <w:rPr>
          <w:rFonts w:ascii="Times New Roman" w:hAnsi="Times New Roman" w:cs="Times New Roman"/>
          <w:sz w:val="28"/>
          <w:szCs w:val="28"/>
        </w:rPr>
        <w:t xml:space="preserve"> Gura Vitioarei</w:t>
      </w:r>
      <w:r w:rsidR="00B94A70">
        <w:rPr>
          <w:rFonts w:ascii="Times New Roman" w:hAnsi="Times New Roman" w:cs="Times New Roman"/>
          <w:sz w:val="28"/>
          <w:szCs w:val="28"/>
        </w:rPr>
        <w:t>,</w:t>
      </w:r>
    </w:p>
    <w:p w:rsidR="00B94A70" w:rsidRDefault="00B94A70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Jr. Constantin Nicoleta Corina</w:t>
      </w:r>
    </w:p>
    <w:p w:rsidR="00B94A70" w:rsidRPr="004C2777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sectPr w:rsidR="00B94A70" w:rsidRPr="004C2777" w:rsidSect="007421C2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130"/>
    <w:multiLevelType w:val="hybridMultilevel"/>
    <w:tmpl w:val="D5C47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6BBB"/>
    <w:multiLevelType w:val="multilevel"/>
    <w:tmpl w:val="6F3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14A5A"/>
    <w:multiLevelType w:val="multilevel"/>
    <w:tmpl w:val="017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D"/>
    <w:rsid w:val="00074338"/>
    <w:rsid w:val="001D774D"/>
    <w:rsid w:val="002C67DD"/>
    <w:rsid w:val="00356478"/>
    <w:rsid w:val="003A6DEF"/>
    <w:rsid w:val="003E1461"/>
    <w:rsid w:val="00442F5B"/>
    <w:rsid w:val="0048637E"/>
    <w:rsid w:val="004C2777"/>
    <w:rsid w:val="004E4E1B"/>
    <w:rsid w:val="004F25C6"/>
    <w:rsid w:val="00526F05"/>
    <w:rsid w:val="005C20B5"/>
    <w:rsid w:val="00695906"/>
    <w:rsid w:val="006D0171"/>
    <w:rsid w:val="00707201"/>
    <w:rsid w:val="007421C2"/>
    <w:rsid w:val="00747D0D"/>
    <w:rsid w:val="00793B60"/>
    <w:rsid w:val="007B0C70"/>
    <w:rsid w:val="007D1391"/>
    <w:rsid w:val="007D619A"/>
    <w:rsid w:val="007D75DF"/>
    <w:rsid w:val="007F0790"/>
    <w:rsid w:val="007F3E3C"/>
    <w:rsid w:val="00831AB3"/>
    <w:rsid w:val="0084179C"/>
    <w:rsid w:val="00933AA5"/>
    <w:rsid w:val="009467D4"/>
    <w:rsid w:val="00972866"/>
    <w:rsid w:val="009B343A"/>
    <w:rsid w:val="009E4E1A"/>
    <w:rsid w:val="00A17444"/>
    <w:rsid w:val="00A41D6B"/>
    <w:rsid w:val="00A45136"/>
    <w:rsid w:val="00A50905"/>
    <w:rsid w:val="00A76C24"/>
    <w:rsid w:val="00AE3D8B"/>
    <w:rsid w:val="00B3339E"/>
    <w:rsid w:val="00B7055A"/>
    <w:rsid w:val="00B94A70"/>
    <w:rsid w:val="00BA7A20"/>
    <w:rsid w:val="00BD3DB1"/>
    <w:rsid w:val="00C65D14"/>
    <w:rsid w:val="00CA5392"/>
    <w:rsid w:val="00CD06DD"/>
    <w:rsid w:val="00D43AC8"/>
    <w:rsid w:val="00DC54B7"/>
    <w:rsid w:val="00DE34E5"/>
    <w:rsid w:val="00E34972"/>
    <w:rsid w:val="00E34BD7"/>
    <w:rsid w:val="00F31832"/>
    <w:rsid w:val="00F875AB"/>
    <w:rsid w:val="00FA43FD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84F3C-540C-4D20-8075-827F4B13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Corina</cp:lastModifiedBy>
  <cp:revision>2</cp:revision>
  <cp:lastPrinted>2021-09-22T10:42:00Z</cp:lastPrinted>
  <dcterms:created xsi:type="dcterms:W3CDTF">2021-12-13T11:43:00Z</dcterms:created>
  <dcterms:modified xsi:type="dcterms:W3CDTF">2021-12-13T11:43:00Z</dcterms:modified>
</cp:coreProperties>
</file>