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454"/>
        <w:gridCol w:w="2466"/>
      </w:tblGrid>
      <w:tr w:rsidR="004E4E1B" w:rsidRPr="009E0413" w:rsidTr="00B1309B">
        <w:trPr>
          <w:jc w:val="center"/>
        </w:trPr>
        <w:tc>
          <w:tcPr>
            <w:tcW w:w="1998" w:type="dxa"/>
          </w:tcPr>
          <w:p w:rsidR="004E4E1B" w:rsidRPr="009E0413" w:rsidRDefault="004E4E1B" w:rsidP="00B1309B">
            <w:pPr>
              <w:rPr>
                <w:rFonts w:ascii="Arial" w:eastAsia="Calibri" w:hAnsi="Arial" w:cs="Arial"/>
                <w:b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1028700" cy="1438275"/>
                  <wp:effectExtent l="19050" t="0" r="0" b="0"/>
                  <wp:docPr id="1" name="Picture 1" descr="C:\Users\Corin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in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:rsidR="004E4E1B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4E4E1B" w:rsidRPr="009E0413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>ROMÂNIA</w:t>
            </w:r>
          </w:p>
          <w:p w:rsidR="004E4E1B" w:rsidRPr="009E0413" w:rsidRDefault="004E4E1B" w:rsidP="00B1309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>JUDEŢUL PRAHOVA</w:t>
            </w:r>
          </w:p>
          <w:p w:rsidR="004E4E1B" w:rsidRPr="009E0413" w:rsidRDefault="004E4E1B" w:rsidP="004E4E1B">
            <w:pPr>
              <w:jc w:val="center"/>
              <w:rPr>
                <w:rFonts w:ascii="Arial" w:eastAsia="Calibri" w:hAnsi="Arial" w:cs="Arial"/>
                <w:b/>
              </w:rPr>
            </w:pPr>
            <w:r w:rsidRPr="009E0413">
              <w:rPr>
                <w:rFonts w:ascii="Arial" w:eastAsia="Calibri" w:hAnsi="Arial" w:cs="Arial"/>
                <w:b/>
              </w:rPr>
              <w:t xml:space="preserve">PRIMARUL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9E0413">
              <w:rPr>
                <w:rFonts w:ascii="Arial" w:eastAsia="Calibri" w:hAnsi="Arial" w:cs="Arial"/>
                <w:b/>
              </w:rPr>
              <w:t>COMUNEI</w:t>
            </w:r>
            <w:r>
              <w:rPr>
                <w:rFonts w:ascii="Arial" w:eastAsia="Calibri" w:hAnsi="Arial" w:cs="Arial"/>
                <w:b/>
              </w:rPr>
              <w:t xml:space="preserve">  </w:t>
            </w:r>
            <w:r w:rsidRPr="009E0413">
              <w:rPr>
                <w:rFonts w:ascii="Arial" w:eastAsia="Calibri" w:hAnsi="Arial" w:cs="Arial"/>
                <w:b/>
              </w:rPr>
              <w:t>GURA VITIOAREI</w:t>
            </w:r>
          </w:p>
        </w:tc>
        <w:tc>
          <w:tcPr>
            <w:tcW w:w="2466" w:type="dxa"/>
          </w:tcPr>
          <w:p w:rsidR="004E4E1B" w:rsidRPr="009E0413" w:rsidRDefault="004E4E1B" w:rsidP="00B1309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>
                  <wp:extent cx="790575" cy="1295400"/>
                  <wp:effectExtent l="19050" t="0" r="9525" b="0"/>
                  <wp:docPr id="2" name="Picture 1" descr="Stema Gura Vtioa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Gura Vtioa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5DF" w:rsidRDefault="001F35A4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 w:rsidR="006F60BD">
        <w:rPr>
          <w:rFonts w:ascii="Times New Roman" w:hAnsi="Times New Roman" w:cs="Times New Roman"/>
          <w:b/>
          <w:sz w:val="28"/>
          <w:szCs w:val="28"/>
        </w:rPr>
        <w:t xml:space="preserve"> 10748</w:t>
      </w:r>
      <w:r w:rsidR="005D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E1B">
        <w:rPr>
          <w:rFonts w:ascii="Times New Roman" w:hAnsi="Times New Roman" w:cs="Times New Roman"/>
          <w:b/>
          <w:sz w:val="28"/>
          <w:szCs w:val="28"/>
        </w:rPr>
        <w:t>/</w:t>
      </w:r>
      <w:r w:rsidR="006F60BD">
        <w:rPr>
          <w:rFonts w:ascii="Times New Roman" w:hAnsi="Times New Roman" w:cs="Times New Roman"/>
          <w:b/>
          <w:sz w:val="28"/>
          <w:szCs w:val="28"/>
        </w:rPr>
        <w:t>24.10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</w:p>
    <w:p w:rsidR="004E4E1B" w:rsidRPr="007D75DF" w:rsidRDefault="004E4E1B" w:rsidP="004E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5DF" w:rsidRPr="007D75DF" w:rsidRDefault="004C2777" w:rsidP="007D7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PROIECT DE </w:t>
      </w:r>
      <w:r w:rsidR="007D75DF" w:rsidRPr="007D75DF">
        <w:rPr>
          <w:rFonts w:ascii="Times New Roman" w:hAnsi="Times New Roman" w:cs="Times New Roman"/>
          <w:b/>
          <w:sz w:val="28"/>
          <w:szCs w:val="28"/>
        </w:rPr>
        <w:t xml:space="preserve"> HOTARARE</w:t>
      </w: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5DF">
        <w:rPr>
          <w:rFonts w:ascii="Times New Roman" w:hAnsi="Times New Roman" w:cs="Times New Roman"/>
          <w:b/>
          <w:bCs/>
          <w:sz w:val="28"/>
          <w:szCs w:val="28"/>
        </w:rPr>
        <w:t>privind aprobarea</w:t>
      </w:r>
      <w:r w:rsidR="00566689">
        <w:rPr>
          <w:rFonts w:ascii="Times New Roman" w:hAnsi="Times New Roman" w:cs="Times New Roman"/>
          <w:b/>
          <w:bCs/>
          <w:sz w:val="28"/>
          <w:szCs w:val="28"/>
        </w:rPr>
        <w:t xml:space="preserve"> rectificarii 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 xml:space="preserve"> bugetului local al comunei Gura Vitioarei</w:t>
      </w: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5DF">
        <w:rPr>
          <w:rFonts w:ascii="Times New Roman" w:hAnsi="Times New Roman" w:cs="Times New Roman"/>
          <w:b/>
          <w:bCs/>
          <w:sz w:val="28"/>
          <w:szCs w:val="28"/>
        </w:rPr>
        <w:t>pe anul 202</w:t>
      </w:r>
      <w:r w:rsidR="001F35A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>, cu estimări pentru anii 202</w:t>
      </w:r>
      <w:r w:rsidR="001F35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D75D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F35A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5DF" w:rsidRPr="007D75DF" w:rsidRDefault="007D75DF" w:rsidP="007D7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5DF">
        <w:rPr>
          <w:rFonts w:ascii="Times New Roman" w:hAnsi="Times New Roman" w:cs="Times New Roman"/>
          <w:sz w:val="28"/>
          <w:szCs w:val="28"/>
        </w:rPr>
        <w:t xml:space="preserve">Consiliul local al comunei </w:t>
      </w:r>
      <w:r>
        <w:rPr>
          <w:rFonts w:ascii="Times New Roman" w:hAnsi="Times New Roman" w:cs="Times New Roman"/>
          <w:sz w:val="28"/>
          <w:szCs w:val="28"/>
        </w:rPr>
        <w:t>Gura Vitioarei, județul Prahova</w:t>
      </w:r>
      <w:r w:rsidR="006F60BD">
        <w:rPr>
          <w:rFonts w:ascii="Times New Roman" w:hAnsi="Times New Roman" w:cs="Times New Roman"/>
          <w:sz w:val="28"/>
          <w:szCs w:val="28"/>
        </w:rPr>
        <w:t xml:space="preserve">, întrunit în ședință </w:t>
      </w:r>
      <w:r w:rsidRPr="007D75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D0D" w:rsidRPr="00747D0D" w:rsidRDefault="004C2777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>a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vând în vedere referatul de aprobare al </w:t>
      </w:r>
      <w:r w:rsidR="007D75DF">
        <w:rPr>
          <w:rFonts w:ascii="Times New Roman" w:eastAsia="Times New Roman" w:hAnsi="Times New Roman" w:cs="Times New Roman"/>
          <w:color w:val="011628"/>
          <w:sz w:val="28"/>
          <w:szCs w:val="28"/>
        </w:rPr>
        <w:t>p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rimarului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comunei Gura Vitioarei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înregistrat cu nr.</w:t>
      </w:r>
      <w:r w:rsidR="006F60BD">
        <w:rPr>
          <w:rFonts w:ascii="Times New Roman" w:eastAsia="Times New Roman" w:hAnsi="Times New Roman" w:cs="Times New Roman"/>
          <w:color w:val="011628"/>
          <w:sz w:val="28"/>
          <w:szCs w:val="28"/>
        </w:rPr>
        <w:t>10749 /24.10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.2023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raportul  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Serviciului</w:t>
      </w:r>
      <w:r w:rsidR="007D75DF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contabilitate, impozite și taxe 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înregistrat cu nr.</w:t>
      </w:r>
      <w:r w:rsidR="006F60B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10750 </w:t>
      </w:r>
      <w:r w:rsidR="0028590A">
        <w:rPr>
          <w:rFonts w:ascii="Times New Roman" w:eastAsia="Times New Roman" w:hAnsi="Times New Roman" w:cs="Times New Roman"/>
          <w:color w:val="011628"/>
          <w:sz w:val="28"/>
          <w:szCs w:val="28"/>
        </w:rPr>
        <w:t>/</w:t>
      </w:r>
      <w:r w:rsidR="006F60BD">
        <w:rPr>
          <w:rFonts w:ascii="Times New Roman" w:eastAsia="Times New Roman" w:hAnsi="Times New Roman" w:cs="Times New Roman"/>
          <w:color w:val="011628"/>
          <w:sz w:val="28"/>
          <w:szCs w:val="28"/>
        </w:rPr>
        <w:t>24.10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.2023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,</w:t>
      </w:r>
      <w:r w:rsidR="007D75DF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proiect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ul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de hotărâre privind aprobarea bugetului local general </w:t>
      </w:r>
      <w:r w:rsidR="00025B92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rectificat consolidat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pe anul 202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3</w:t>
      </w:r>
      <w:r w:rsidR="001A3FB3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și anexele aferente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;</w:t>
      </w:r>
    </w:p>
    <w:p w:rsidR="004E4E1B" w:rsidRDefault="00747D0D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având în vedere prevederile Legii nr. 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368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/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19</w:t>
      </w:r>
      <w:r w:rsidR="00EA715D">
        <w:rPr>
          <w:rFonts w:ascii="Times New Roman" w:eastAsia="Times New Roman" w:hAnsi="Times New Roman" w:cs="Times New Roman"/>
          <w:color w:val="011628"/>
          <w:sz w:val="28"/>
          <w:szCs w:val="28"/>
        </w:rPr>
        <w:t>.12.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2022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entru aprobarea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Bugetul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ui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de stat pe anul 20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2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3</w:t>
      </w:r>
      <w:r w:rsidR="004E4E1B">
        <w:rPr>
          <w:rFonts w:ascii="Times New Roman" w:eastAsia="Times New Roman" w:hAnsi="Times New Roman" w:cs="Times New Roman"/>
          <w:color w:val="011628"/>
          <w:sz w:val="28"/>
          <w:szCs w:val="28"/>
        </w:rPr>
        <w:t>;</w:t>
      </w:r>
    </w:p>
    <w:p w:rsidR="004C2777" w:rsidRDefault="00747D0D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prevederile Legii nr. 273/2006 privind finanțele publice locale, cu modificările completările ulterioare;</w:t>
      </w:r>
    </w:p>
    <w:p w:rsidR="004C2777" w:rsidRPr="00EA715D" w:rsidRDefault="004C2777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4C2777">
        <w:rPr>
          <w:rFonts w:ascii="Times New Roman" w:hAnsi="Times New Roman" w:cs="Times New Roman"/>
          <w:sz w:val="28"/>
          <w:szCs w:val="28"/>
          <w:lang w:val="it-IT"/>
        </w:rPr>
        <w:t>Decizi</w:t>
      </w:r>
      <w:r w:rsidR="005C20B5">
        <w:rPr>
          <w:rFonts w:ascii="Times New Roman" w:hAnsi="Times New Roman" w:cs="Times New Roman"/>
          <w:sz w:val="28"/>
          <w:szCs w:val="28"/>
          <w:lang w:val="it-IT"/>
        </w:rPr>
        <w:t>ile</w:t>
      </w:r>
      <w:r w:rsidRPr="004C2777">
        <w:rPr>
          <w:rFonts w:ascii="Times New Roman" w:hAnsi="Times New Roman" w:cs="Times New Roman"/>
          <w:sz w:val="28"/>
          <w:szCs w:val="28"/>
          <w:lang w:val="it-IT"/>
        </w:rPr>
        <w:t xml:space="preserve"> Directorului Executiv al Direcției Genera</w:t>
      </w:r>
      <w:r w:rsidR="002C018D">
        <w:rPr>
          <w:rFonts w:ascii="Times New Roman" w:hAnsi="Times New Roman" w:cs="Times New Roman"/>
          <w:sz w:val="28"/>
          <w:szCs w:val="28"/>
          <w:lang w:val="it-IT"/>
        </w:rPr>
        <w:t xml:space="preserve">le a Finanțelor Publice Prahova </w:t>
      </w:r>
      <w:r w:rsidRPr="004C2777">
        <w:rPr>
          <w:rFonts w:ascii="Times New Roman" w:hAnsi="Times New Roman" w:cs="Times New Roman"/>
          <w:sz w:val="28"/>
          <w:szCs w:val="28"/>
          <w:lang w:val="it-IT"/>
        </w:rPr>
        <w:t>nr</w:t>
      </w:r>
      <w:r w:rsidRPr="004C2777">
        <w:rPr>
          <w:rFonts w:ascii="Times New Roman" w:hAnsi="Times New Roman" w:cs="Times New Roman"/>
          <w:color w:val="0D0D0D"/>
          <w:sz w:val="28"/>
          <w:szCs w:val="28"/>
          <w:lang w:val="it-IT"/>
        </w:rPr>
        <w:t>.</w:t>
      </w:r>
      <w:r w:rsidR="001F35A4">
        <w:rPr>
          <w:rFonts w:ascii="Times New Roman" w:hAnsi="Times New Roman" w:cs="Times New Roman"/>
          <w:color w:val="0D0D0D"/>
          <w:sz w:val="28"/>
          <w:szCs w:val="28"/>
          <w:lang w:val="it-IT"/>
        </w:rPr>
        <w:t>190</w:t>
      </w:r>
      <w:r w:rsidR="00582F52">
        <w:rPr>
          <w:rFonts w:ascii="Times New Roman" w:hAnsi="Times New Roman" w:cs="Times New Roman"/>
          <w:color w:val="0D0D0D"/>
          <w:sz w:val="28"/>
          <w:szCs w:val="28"/>
          <w:lang w:val="it-IT"/>
        </w:rPr>
        <w:t>/</w:t>
      </w:r>
      <w:r w:rsidR="001F35A4">
        <w:rPr>
          <w:rFonts w:ascii="Times New Roman" w:hAnsi="Times New Roman" w:cs="Times New Roman"/>
          <w:color w:val="0D0D0D"/>
          <w:sz w:val="28"/>
          <w:szCs w:val="28"/>
          <w:lang w:val="it-IT"/>
        </w:rPr>
        <w:t>12.01.2023</w:t>
      </w:r>
      <w:r w:rsidR="002C018D">
        <w:rPr>
          <w:rFonts w:ascii="Times New Roman" w:hAnsi="Times New Roman" w:cs="Times New Roman"/>
          <w:color w:val="0D0D0D"/>
          <w:sz w:val="28"/>
          <w:szCs w:val="28"/>
          <w:lang w:val="it-IT"/>
        </w:rPr>
        <w:t>,</w:t>
      </w:r>
      <w:r w:rsidR="004917DE">
        <w:rPr>
          <w:rFonts w:ascii="Times New Roman" w:hAnsi="Times New Roman" w:cs="Times New Roman"/>
          <w:color w:val="0D0D0D"/>
          <w:sz w:val="28"/>
          <w:szCs w:val="28"/>
          <w:lang w:val="it-IT"/>
        </w:rPr>
        <w:t xml:space="preserve"> </w:t>
      </w:r>
      <w:r w:rsidR="00ED7DA3" w:rsidRPr="002C018D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167/09.01.2023</w:t>
      </w:r>
      <w:r w:rsidR="002C018D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,</w:t>
      </w:r>
      <w:r w:rsidR="004917DE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2C018D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4517/28.12.2022</w:t>
      </w:r>
      <w:r w:rsidR="000F168B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, 2775/23.02.2023</w:t>
      </w:r>
      <w:r w:rsidR="002C018D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4C2777">
        <w:rPr>
          <w:rFonts w:ascii="Times New Roman" w:hAnsi="Times New Roman" w:cs="Times New Roman"/>
          <w:color w:val="0D0D0D"/>
          <w:sz w:val="28"/>
          <w:szCs w:val="28"/>
          <w:lang w:val="it-IT"/>
        </w:rPr>
        <w:t>privind repartizarea pe  unități administrativ-</w:t>
      </w:r>
      <w:r w:rsidRPr="004C2777">
        <w:rPr>
          <w:rFonts w:ascii="Times New Roman" w:hAnsi="Times New Roman" w:cs="Times New Roman"/>
          <w:sz w:val="28"/>
          <w:szCs w:val="28"/>
          <w:lang w:val="it-IT"/>
        </w:rPr>
        <w:t xml:space="preserve">teritoriale a sumelor defalcate din </w:t>
      </w:r>
      <w:r w:rsidR="00EA715D">
        <w:rPr>
          <w:rFonts w:ascii="Times New Roman" w:hAnsi="Times New Roman" w:cs="Times New Roman"/>
          <w:sz w:val="28"/>
          <w:szCs w:val="28"/>
          <w:lang w:val="it-IT"/>
        </w:rPr>
        <w:t xml:space="preserve">din unele venituri ale bugetului de stat </w:t>
      </w:r>
      <w:r w:rsidRPr="004C27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EA715D" w:rsidRPr="0079063C" w:rsidRDefault="00E43052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Fișele cu indicatorii pentru bugetul local alocați din unele venituri ale bu</w:t>
      </w:r>
      <w:r w:rsidR="001F35A4">
        <w:rPr>
          <w:rFonts w:ascii="Times New Roman" w:hAnsi="Times New Roman" w:cs="Times New Roman"/>
          <w:sz w:val="28"/>
          <w:szCs w:val="28"/>
          <w:lang w:val="it-IT"/>
        </w:rPr>
        <w:t>getului de stat pentru anul 2023 și estimări pentru anii 2024</w:t>
      </w:r>
      <w:r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1F35A4">
        <w:rPr>
          <w:rFonts w:ascii="Times New Roman" w:hAnsi="Times New Roman" w:cs="Times New Roman"/>
          <w:sz w:val="28"/>
          <w:szCs w:val="28"/>
          <w:lang w:val="it-IT"/>
        </w:rPr>
        <w:t>2026</w:t>
      </w:r>
      <w:r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79063C" w:rsidRDefault="0079063C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Hotararea Consiliului Judetean Prahova nr.32/17.02.2023;</w:t>
      </w:r>
    </w:p>
    <w:p w:rsidR="00747D0D" w:rsidRDefault="00747D0D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în conformitate cu prevederile art. 129 alin. (4) lit. a) lit. d) din OUG 57/2019 privind Codul Administrativ;</w:t>
      </w:r>
    </w:p>
    <w:p w:rsidR="006F60BD" w:rsidRPr="00B4073F" w:rsidRDefault="00B4073F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B4073F">
        <w:rPr>
          <w:rFonts w:ascii="Times New Roman" w:hAnsi="Times New Roman" w:cs="Times New Roman"/>
          <w:sz w:val="28"/>
          <w:szCs w:val="28"/>
        </w:rPr>
        <w:t>avand in vedere prevederile din H.G. nr.900/2023 pentru stabilirea salariului de baza minim brut pe tara garantat in plata , incepand cu data de 01.10.2023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D0D" w:rsidRPr="00747D0D" w:rsidRDefault="00747D0D" w:rsidP="004917DE">
      <w:pPr>
        <w:numPr>
          <w:ilvl w:val="0"/>
          <w:numId w:val="1"/>
        </w:numPr>
        <w:shd w:val="clear" w:color="auto" w:fill="FDFFFC"/>
        <w:spacing w:before="100" w:beforeAutospacing="1" w:after="144" w:line="240" w:lineRule="auto"/>
        <w:ind w:left="0"/>
        <w:jc w:val="both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în temeiul art. 139 alin. (1), alin. (3) lit. a) si art. 196, art. 197, art. 200 din OUG 57/2019 privind Codul Administrativ.</w:t>
      </w:r>
    </w:p>
    <w:p w:rsidR="00747D0D" w:rsidRPr="00747D0D" w:rsidRDefault="00747D0D" w:rsidP="00747D0D">
      <w:pPr>
        <w:shd w:val="clear" w:color="auto" w:fill="FDFF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aps/>
          <w:color w:val="011628"/>
          <w:sz w:val="28"/>
          <w:szCs w:val="28"/>
        </w:rPr>
        <w:t>HOTĂRĂȘTE:</w:t>
      </w:r>
    </w:p>
    <w:p w:rsidR="00747D0D" w:rsidRPr="00747D0D" w:rsidRDefault="00747D0D" w:rsidP="00747D0D">
      <w:pPr>
        <w:numPr>
          <w:ilvl w:val="0"/>
          <w:numId w:val="2"/>
        </w:numPr>
        <w:shd w:val="clear" w:color="auto" w:fill="FDFFFC"/>
        <w:spacing w:before="100" w:beforeAutospacing="1" w:after="144" w:line="240" w:lineRule="auto"/>
        <w:ind w:left="0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lastRenderedPageBreak/>
        <w:t>Art. 1.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 – Se aprobă Bugetul general</w:t>
      </w:r>
      <w:r w:rsidR="009D4CC0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rectificat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consolidat de Venituri Cheltuieli al 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comunei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Gura Vitioarei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pe anul 202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3</w:t>
      </w:r>
      <w:r w:rsidR="00CE4119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conform anexelor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nr. 1</w:t>
      </w:r>
      <w:r w:rsidR="00CE4119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si nr.2 </w:t>
      </w:r>
      <w:r w:rsidR="00BA2F9F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care fac parte </w:t>
      </w:r>
      <w:r w:rsidR="00A41D6B">
        <w:rPr>
          <w:rFonts w:ascii="Times New Roman" w:eastAsia="Times New Roman" w:hAnsi="Times New Roman" w:cs="Times New Roman"/>
          <w:color w:val="011628"/>
          <w:sz w:val="28"/>
          <w:szCs w:val="28"/>
        </w:rPr>
        <w:t>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ntegrantă din prezenta hotărâre, buget general care cuprinde:</w:t>
      </w:r>
    </w:p>
    <w:p w:rsidR="00747D0D" w:rsidRPr="001F35A4" w:rsidRDefault="009E4E1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-  </w:t>
      </w:r>
      <w:r w:rsidR="00747D0D" w:rsidRP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Bugetul </w:t>
      </w:r>
      <w:r w:rsidRP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general </w:t>
      </w:r>
      <w:r w:rsidR="009D4CC0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rectificat </w:t>
      </w:r>
      <w:r w:rsidRP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consolidat </w:t>
      </w:r>
      <w:r w:rsidR="00747D0D" w:rsidRP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al </w:t>
      </w:r>
      <w:r w:rsidR="00A41D6B" w:rsidRP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comunei Gura Vitioarei </w:t>
      </w:r>
      <w:r w:rsidR="007421C2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pe anul 202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3</w:t>
      </w:r>
      <w:r w:rsidR="00747D0D" w:rsidRP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în sumă totală de </w:t>
      </w:r>
      <w:r w:rsidR="006A6800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43.264,02</w:t>
      </w:r>
      <w:r w:rsidR="00B33FBF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5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mii </w:t>
      </w:r>
      <w:r w:rsidR="00747D0D" w:rsidRPr="00125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lei,  partea de venituri  și</w:t>
      </w:r>
      <w:r w:rsidRPr="00125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800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52.126,02</w:t>
      </w:r>
      <w:r w:rsidR="0012552F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5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mii lei</w:t>
      </w:r>
      <w:r w:rsidR="00747D0D" w:rsidRPr="00125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partea de cheltuieli (anexa 1);</w:t>
      </w:r>
    </w:p>
    <w:p w:rsidR="00747D0D" w:rsidRPr="00747D0D" w:rsidRDefault="009E4E1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- 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Lista detaliata a obiectivelor de investiții pe anul 202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3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 suma totală de </w:t>
      </w:r>
      <w:r w:rsidR="006A6800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41.871</w:t>
      </w:r>
      <w:r w:rsidR="006E6A57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,50</w:t>
      </w:r>
      <w:r w:rsidR="00DC54B7"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mii </w:t>
      </w:r>
      <w:r w:rsidR="00B33FBF">
        <w:rPr>
          <w:rFonts w:ascii="Times New Roman" w:eastAsia="Times New Roman" w:hAnsi="Times New Roman" w:cs="Times New Roman"/>
          <w:color w:val="011628"/>
          <w:sz w:val="28"/>
          <w:szCs w:val="28"/>
        </w:rPr>
        <w:t>lei</w:t>
      </w:r>
      <w:r w:rsidR="00437A1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</w:t>
      </w:r>
      <w:r w:rsidR="00D22C69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(anexa 2)</w:t>
      </w:r>
      <w:r w:rsidR="00B33FBF">
        <w:rPr>
          <w:rFonts w:ascii="Times New Roman" w:eastAsia="Times New Roman" w:hAnsi="Times New Roman" w:cs="Times New Roman"/>
          <w:color w:val="011628"/>
          <w:sz w:val="28"/>
          <w:szCs w:val="28"/>
        </w:rPr>
        <w:t>;</w:t>
      </w:r>
    </w:p>
    <w:p w:rsidR="009E4E1A" w:rsidRPr="00747D0D" w:rsidRDefault="009E4E1A" w:rsidP="009E4E1A">
      <w:pPr>
        <w:shd w:val="clear" w:color="auto" w:fill="FDFFFC"/>
        <w:spacing w:before="100" w:beforeAutospacing="1" w:after="48" w:line="240" w:lineRule="auto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- </w:t>
      </w:r>
      <w:r w:rsidR="00747D0D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bugetul </w:t>
      </w:r>
      <w:r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Școlii Gim</w:t>
      </w:r>
      <w:r w:rsidR="00E43052">
        <w:rPr>
          <w:rFonts w:ascii="Times New Roman" w:eastAsia="Times New Roman" w:hAnsi="Times New Roman" w:cs="Times New Roman"/>
          <w:color w:val="011628"/>
          <w:sz w:val="28"/>
          <w:szCs w:val="28"/>
        </w:rPr>
        <w:t>naziale, co</w:t>
      </w:r>
      <w:r w:rsidR="001F35A4">
        <w:rPr>
          <w:rFonts w:ascii="Times New Roman" w:eastAsia="Times New Roman" w:hAnsi="Times New Roman" w:cs="Times New Roman"/>
          <w:color w:val="011628"/>
          <w:sz w:val="28"/>
          <w:szCs w:val="28"/>
        </w:rPr>
        <w:t>muna Gura Vitioarei pe anul 2023</w:t>
      </w:r>
      <w:r w:rsidR="00B90FD8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ramane </w:t>
      </w:r>
      <w:r w:rsidR="00E43052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 sumă de </w:t>
      </w:r>
      <w:r w:rsidR="006B5D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822</w:t>
      </w:r>
      <w:r w:rsidR="00F02F71" w:rsidRPr="00B90F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,00 </w:t>
      </w:r>
      <w:r w:rsidR="000256D3" w:rsidRPr="00B90F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FD8">
        <w:rPr>
          <w:rFonts w:ascii="Times New Roman" w:eastAsia="Times New Roman" w:hAnsi="Times New Roman" w:cs="Times New Roman"/>
          <w:color w:val="011628"/>
          <w:sz w:val="28"/>
          <w:szCs w:val="28"/>
        </w:rPr>
        <w:t>mii lei;</w:t>
      </w:r>
    </w:p>
    <w:p w:rsidR="00747D0D" w:rsidRPr="00747D0D" w:rsidRDefault="00747D0D" w:rsidP="009E4E1A">
      <w:pPr>
        <w:shd w:val="clear" w:color="auto" w:fill="FDFFFC"/>
        <w:spacing w:before="100" w:beforeAutospacing="1" w:after="144" w:line="240" w:lineRule="auto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 xml:space="preserve">Art. </w:t>
      </w:r>
      <w:r w:rsidR="009E4E1A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2</w:t>
      </w: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.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– Prezenta va fi dusă la îndeplinire de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DC54B7">
        <w:rPr>
          <w:rFonts w:ascii="Times New Roman" w:eastAsia="Times New Roman" w:hAnsi="Times New Roman" w:cs="Times New Roman"/>
          <w:color w:val="011628"/>
          <w:sz w:val="28"/>
          <w:szCs w:val="28"/>
        </w:rPr>
        <w:t>P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>rimarul  comunei Gura Vitioarei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</w:t>
      </w:r>
      <w:r w:rsidR="00DC54B7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Serviciul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>contabilitate, impozite și taxe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,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Compartimentul de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9E4E1A"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investiții </w:t>
      </w:r>
      <w:r w:rsidR="009E4E1A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și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achiziții publice  din cadrul aparatului de specialitate al primarului, celelalte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compartimente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din cadrul primăriei si ordonator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ul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terțiar de credite, respectiv Directorul Școlii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G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imnaziale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,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Comuna Gura Vitioarei.</w:t>
      </w:r>
    </w:p>
    <w:p w:rsidR="00747D0D" w:rsidRPr="00747D0D" w:rsidRDefault="00747D0D" w:rsidP="007D1391">
      <w:pPr>
        <w:shd w:val="clear" w:color="auto" w:fill="FDFFFC"/>
        <w:spacing w:before="100" w:beforeAutospacing="1" w:after="144" w:line="240" w:lineRule="auto"/>
        <w:rPr>
          <w:rFonts w:ascii="Times New Roman" w:eastAsia="Times New Roman" w:hAnsi="Times New Roman" w:cs="Times New Roman"/>
          <w:color w:val="011628"/>
          <w:sz w:val="28"/>
          <w:szCs w:val="28"/>
        </w:rPr>
      </w:pPr>
      <w:r w:rsidRPr="00747D0D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 xml:space="preserve">Art. </w:t>
      </w:r>
      <w:r w:rsidR="007D1391" w:rsidRPr="007D1391">
        <w:rPr>
          <w:rFonts w:ascii="Times New Roman" w:eastAsia="Times New Roman" w:hAnsi="Times New Roman" w:cs="Times New Roman"/>
          <w:b/>
          <w:bCs/>
          <w:color w:val="011628"/>
          <w:sz w:val="28"/>
          <w:szCs w:val="28"/>
        </w:rPr>
        <w:t>3.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  Prezenta hotărâre, anexele care fac parte integranta, se comunică Prefectului județului 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>Prahova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 în vederea exercitării controlului cu privire la legalitate, se aduce la cunoștință publică prin pu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blicarea pe site-ul instituției, prin grija secretarului </w:t>
      </w:r>
      <w:r w:rsidR="00DC54B7">
        <w:rPr>
          <w:rFonts w:ascii="Times New Roman" w:eastAsia="Times New Roman" w:hAnsi="Times New Roman" w:cs="Times New Roman"/>
          <w:color w:val="011628"/>
          <w:sz w:val="28"/>
          <w:szCs w:val="28"/>
        </w:rPr>
        <w:t>general al c</w:t>
      </w:r>
      <w:r w:rsidR="007D1391">
        <w:rPr>
          <w:rFonts w:ascii="Times New Roman" w:eastAsia="Times New Roman" w:hAnsi="Times New Roman" w:cs="Times New Roman"/>
          <w:color w:val="011628"/>
          <w:sz w:val="28"/>
          <w:szCs w:val="28"/>
        </w:rPr>
        <w:t xml:space="preserve">omunei Gura Vitioarei </w:t>
      </w:r>
      <w:r w:rsidRPr="00747D0D">
        <w:rPr>
          <w:rFonts w:ascii="Times New Roman" w:eastAsia="Times New Roman" w:hAnsi="Times New Roman" w:cs="Times New Roman"/>
          <w:color w:val="011628"/>
          <w:sz w:val="28"/>
          <w:szCs w:val="28"/>
        </w:rPr>
        <w:t>tuturor persoanelor interesate.</w:t>
      </w:r>
    </w:p>
    <w:p w:rsidR="00695906" w:rsidRPr="007D75DF" w:rsidRDefault="00695906">
      <w:pPr>
        <w:rPr>
          <w:sz w:val="28"/>
          <w:szCs w:val="28"/>
        </w:rPr>
      </w:pPr>
    </w:p>
    <w:p w:rsidR="007D1391" w:rsidRDefault="007D1391">
      <w:pPr>
        <w:rPr>
          <w:sz w:val="28"/>
          <w:szCs w:val="28"/>
        </w:rPr>
      </w:pPr>
    </w:p>
    <w:p w:rsidR="007D1391" w:rsidRPr="004C2777" w:rsidRDefault="007D1391" w:rsidP="004C277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C54B7">
        <w:rPr>
          <w:sz w:val="28"/>
          <w:szCs w:val="28"/>
        </w:rPr>
        <w:t>P</w:t>
      </w:r>
      <w:r w:rsidR="004C2777" w:rsidRPr="004C2777">
        <w:rPr>
          <w:rFonts w:ascii="Times New Roman" w:hAnsi="Times New Roman" w:cs="Times New Roman"/>
          <w:sz w:val="28"/>
          <w:szCs w:val="28"/>
        </w:rPr>
        <w:t>rimar,</w:t>
      </w:r>
    </w:p>
    <w:p w:rsidR="004C2777" w:rsidRDefault="004C2777" w:rsidP="004C2777">
      <w:pPr>
        <w:rPr>
          <w:rFonts w:ascii="Times New Roman" w:hAnsi="Times New Roman" w:cs="Times New Roman"/>
          <w:sz w:val="28"/>
          <w:szCs w:val="28"/>
        </w:rPr>
      </w:pPr>
      <w:r w:rsidRPr="004C2777">
        <w:rPr>
          <w:rFonts w:ascii="Times New Roman" w:hAnsi="Times New Roman" w:cs="Times New Roman"/>
          <w:sz w:val="28"/>
          <w:szCs w:val="28"/>
        </w:rPr>
        <w:tab/>
        <w:t>Stănescu Gheorghe</w:t>
      </w:r>
    </w:p>
    <w:p w:rsidR="00B94A70" w:rsidRDefault="00B94A70" w:rsidP="004C2777">
      <w:pPr>
        <w:rPr>
          <w:rFonts w:ascii="Times New Roman" w:hAnsi="Times New Roman" w:cs="Times New Roman"/>
          <w:sz w:val="28"/>
          <w:szCs w:val="28"/>
        </w:rPr>
      </w:pPr>
    </w:p>
    <w:p w:rsidR="00B94A70" w:rsidRDefault="00B94A70" w:rsidP="00B9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Avizat,</w:t>
      </w:r>
    </w:p>
    <w:p w:rsidR="00B94A70" w:rsidRDefault="00DC54B7" w:rsidP="00B9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4A70">
        <w:rPr>
          <w:rFonts w:ascii="Times New Roman" w:hAnsi="Times New Roman" w:cs="Times New Roman"/>
          <w:sz w:val="28"/>
          <w:szCs w:val="28"/>
        </w:rPr>
        <w:t xml:space="preserve">Secretarul </w:t>
      </w:r>
      <w:r>
        <w:rPr>
          <w:rFonts w:ascii="Times New Roman" w:hAnsi="Times New Roman" w:cs="Times New Roman"/>
          <w:sz w:val="28"/>
          <w:szCs w:val="28"/>
        </w:rPr>
        <w:t xml:space="preserve">General al </w:t>
      </w:r>
      <w:r w:rsidR="00B94A70">
        <w:rPr>
          <w:rFonts w:ascii="Times New Roman" w:hAnsi="Times New Roman" w:cs="Times New Roman"/>
          <w:sz w:val="28"/>
          <w:szCs w:val="28"/>
        </w:rPr>
        <w:t>Comunei</w:t>
      </w:r>
      <w:r>
        <w:rPr>
          <w:rFonts w:ascii="Times New Roman" w:hAnsi="Times New Roman" w:cs="Times New Roman"/>
          <w:sz w:val="28"/>
          <w:szCs w:val="28"/>
        </w:rPr>
        <w:t xml:space="preserve"> Gura Vitioarei</w:t>
      </w:r>
      <w:r w:rsidR="00B94A70">
        <w:rPr>
          <w:rFonts w:ascii="Times New Roman" w:hAnsi="Times New Roman" w:cs="Times New Roman"/>
          <w:sz w:val="28"/>
          <w:szCs w:val="28"/>
        </w:rPr>
        <w:t>,</w:t>
      </w:r>
    </w:p>
    <w:p w:rsidR="00B94A70" w:rsidRDefault="00B94A70" w:rsidP="00B94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Jr. Constantin Nicoleta Corina</w:t>
      </w:r>
    </w:p>
    <w:p w:rsidR="00B94A70" w:rsidRPr="004C2777" w:rsidRDefault="00B94A70" w:rsidP="004C2777">
      <w:pPr>
        <w:rPr>
          <w:rFonts w:ascii="Times New Roman" w:hAnsi="Times New Roman" w:cs="Times New Roman"/>
          <w:sz w:val="28"/>
          <w:szCs w:val="28"/>
        </w:rPr>
      </w:pPr>
    </w:p>
    <w:sectPr w:rsidR="00B94A70" w:rsidRPr="004C2777" w:rsidSect="007421C2">
      <w:pgSz w:w="11906" w:h="16838"/>
      <w:pgMar w:top="864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130"/>
    <w:multiLevelType w:val="hybridMultilevel"/>
    <w:tmpl w:val="D5C47A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46BBB"/>
    <w:multiLevelType w:val="multilevel"/>
    <w:tmpl w:val="6F3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14A5A"/>
    <w:multiLevelType w:val="multilevel"/>
    <w:tmpl w:val="017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D"/>
    <w:rsid w:val="000256D3"/>
    <w:rsid w:val="00025B92"/>
    <w:rsid w:val="00074338"/>
    <w:rsid w:val="000F168B"/>
    <w:rsid w:val="0012552F"/>
    <w:rsid w:val="00127038"/>
    <w:rsid w:val="001A3FB3"/>
    <w:rsid w:val="001F35A4"/>
    <w:rsid w:val="00202654"/>
    <w:rsid w:val="0028590A"/>
    <w:rsid w:val="002A2A91"/>
    <w:rsid w:val="002C018D"/>
    <w:rsid w:val="002E5F9D"/>
    <w:rsid w:val="00302C92"/>
    <w:rsid w:val="00342B34"/>
    <w:rsid w:val="00377AA8"/>
    <w:rsid w:val="003D538F"/>
    <w:rsid w:val="003E1461"/>
    <w:rsid w:val="00437A1D"/>
    <w:rsid w:val="00454440"/>
    <w:rsid w:val="004917DE"/>
    <w:rsid w:val="004C2777"/>
    <w:rsid w:val="004E4E1B"/>
    <w:rsid w:val="004F25C6"/>
    <w:rsid w:val="005421FC"/>
    <w:rsid w:val="00566689"/>
    <w:rsid w:val="00573A25"/>
    <w:rsid w:val="005743AA"/>
    <w:rsid w:val="00582F52"/>
    <w:rsid w:val="005C20B5"/>
    <w:rsid w:val="005D2CBB"/>
    <w:rsid w:val="005E6D8C"/>
    <w:rsid w:val="0062215F"/>
    <w:rsid w:val="00651456"/>
    <w:rsid w:val="0068751B"/>
    <w:rsid w:val="00695906"/>
    <w:rsid w:val="006A6800"/>
    <w:rsid w:val="006B5DD3"/>
    <w:rsid w:val="006E6A57"/>
    <w:rsid w:val="006F60BD"/>
    <w:rsid w:val="00704E97"/>
    <w:rsid w:val="00714DC0"/>
    <w:rsid w:val="007421C2"/>
    <w:rsid w:val="00747D0D"/>
    <w:rsid w:val="0079063C"/>
    <w:rsid w:val="0079602E"/>
    <w:rsid w:val="007D1391"/>
    <w:rsid w:val="007D75DF"/>
    <w:rsid w:val="007E5E25"/>
    <w:rsid w:val="00894C4A"/>
    <w:rsid w:val="009840C2"/>
    <w:rsid w:val="009D4CC0"/>
    <w:rsid w:val="009E4E1A"/>
    <w:rsid w:val="00A02898"/>
    <w:rsid w:val="00A41D6B"/>
    <w:rsid w:val="00A50905"/>
    <w:rsid w:val="00A80534"/>
    <w:rsid w:val="00AF2B4B"/>
    <w:rsid w:val="00AF7500"/>
    <w:rsid w:val="00B33FBF"/>
    <w:rsid w:val="00B4073F"/>
    <w:rsid w:val="00B7055A"/>
    <w:rsid w:val="00B90FD8"/>
    <w:rsid w:val="00B94A70"/>
    <w:rsid w:val="00BA2F9F"/>
    <w:rsid w:val="00BA7A20"/>
    <w:rsid w:val="00BD578C"/>
    <w:rsid w:val="00C04E35"/>
    <w:rsid w:val="00C84B7A"/>
    <w:rsid w:val="00C9538B"/>
    <w:rsid w:val="00CE0F9D"/>
    <w:rsid w:val="00CE4119"/>
    <w:rsid w:val="00D22C69"/>
    <w:rsid w:val="00DC54B7"/>
    <w:rsid w:val="00E3461C"/>
    <w:rsid w:val="00E43052"/>
    <w:rsid w:val="00EA715D"/>
    <w:rsid w:val="00ED7DA3"/>
    <w:rsid w:val="00F02F71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normativpreambul">
    <w:name w:val="act-normativ__preambul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normativdispozitiva">
    <w:name w:val="act-normativ__dispozitiva"/>
    <w:basedOn w:val="Normal"/>
    <w:rsid w:val="0074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Corina</cp:lastModifiedBy>
  <cp:revision>2</cp:revision>
  <cp:lastPrinted>2022-02-10T14:07:00Z</cp:lastPrinted>
  <dcterms:created xsi:type="dcterms:W3CDTF">2023-10-26T07:37:00Z</dcterms:created>
  <dcterms:modified xsi:type="dcterms:W3CDTF">2023-10-26T07:37:00Z</dcterms:modified>
</cp:coreProperties>
</file>